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44"/>
          <w:szCs w:val="44"/>
        </w:rPr>
      </w:pPr>
      <w:r>
        <w:rPr>
          <w:rFonts w:eastAsia="方正小标宋简体"/>
          <w:sz w:val="44"/>
          <w:szCs w:val="44"/>
        </w:rPr>
        <w:t>株洲市芦淞区涉企经营许可事项告知书</w:t>
      </w:r>
    </w:p>
    <w:p>
      <w:pPr>
        <w:widowControl/>
        <w:spacing w:line="600" w:lineRule="exact"/>
        <w:ind w:left="630"/>
        <w:jc w:val="left"/>
        <w:rPr>
          <w:rFonts w:eastAsia="黑体"/>
          <w:kern w:val="0"/>
          <w:sz w:val="32"/>
          <w:szCs w:val="32"/>
        </w:rPr>
      </w:pPr>
      <w:r>
        <w:rPr>
          <w:rFonts w:eastAsia="黑体"/>
          <w:kern w:val="0"/>
          <w:sz w:val="32"/>
          <w:szCs w:val="32"/>
        </w:rPr>
        <w:t xml:space="preserve"> 一、许可事项名称及编码</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事项名称：人力资源服务许可</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eastAsia="zh-CN"/>
        </w:rPr>
        <w:t>事项</w:t>
      </w:r>
      <w:r>
        <w:rPr>
          <w:rFonts w:hint="eastAsia" w:ascii="仿宋_GB2312" w:hAnsi="仿宋_GB2312" w:eastAsia="仿宋_GB2312" w:cs="仿宋_GB2312"/>
          <w:color w:val="auto"/>
          <w:kern w:val="0"/>
          <w:sz w:val="32"/>
          <w:szCs w:val="32"/>
        </w:rPr>
        <w:t>编码：000114006001</w:t>
      </w:r>
    </w:p>
    <w:p>
      <w:pPr>
        <w:spacing w:line="600" w:lineRule="exact"/>
        <w:ind w:firstLine="640" w:firstLineChars="200"/>
        <w:rPr>
          <w:rFonts w:eastAsia="黑体"/>
          <w:kern w:val="0"/>
          <w:sz w:val="32"/>
          <w:szCs w:val="32"/>
        </w:rPr>
      </w:pPr>
      <w:r>
        <w:rPr>
          <w:rFonts w:eastAsia="黑体"/>
          <w:kern w:val="0"/>
          <w:sz w:val="32"/>
          <w:szCs w:val="32"/>
        </w:rPr>
        <w:t>二、许可事项告知部门</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株洲市芦淞区人力资源和社会保障局</w:t>
      </w:r>
    </w:p>
    <w:p>
      <w:pPr>
        <w:widowControl/>
        <w:spacing w:line="600" w:lineRule="exact"/>
        <w:ind w:firstLine="630"/>
        <w:jc w:val="left"/>
        <w:rPr>
          <w:rFonts w:eastAsia="黑体"/>
          <w:kern w:val="0"/>
          <w:sz w:val="32"/>
          <w:szCs w:val="32"/>
        </w:rPr>
      </w:pPr>
      <w:r>
        <w:rPr>
          <w:rFonts w:eastAsia="黑体"/>
          <w:kern w:val="0"/>
          <w:sz w:val="32"/>
          <w:szCs w:val="32"/>
        </w:rPr>
        <w:t>三、准予许可的条件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（一）本行政许可事项获得批准应当具备下列条件：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经营性人力资源服务机构申请从事职业中介活动，应当具备以下条件：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1.具有明确的章程和管理制度；</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2.有开展业务必备的固定场所、办公设施和一定数额的开办资金；</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3.依法取得工商营业执照；</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4.有一定数量具备相应职业资格或参加过人力资源服务从业培训、具有人力资源管理等相关工作经历的专职工作人员；</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5.能够独立承担民事法律责任；</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6.法律、法规规定的其他条件。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（二）应当提交的材料及期限：</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经营性人力资源服务机构申请人力资源行政许可，应向其所在县级人力资源社会保障行政部门书面报告，并提交以下材料：</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1.按要求填写的《人力资源服务行政许可审批表》（一式两份）；</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2.申请机构法人营业执照正副本（复印件）；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3.申请机构章程及制度；</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4.申请机构办公场所使用场地所有权证或租赁合同；</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5.申请机构专职工作人员名册、签订劳动合同等情况材料；</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6.申请机构具备相应资格条件的专职工作人员证明；</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7.服务场所照片；</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8.法律、法规规定的其他文件。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上述材料，申请人应当：</w:t>
      </w:r>
    </w:p>
    <w:p>
      <w:pPr>
        <w:spacing w:line="600" w:lineRule="exact"/>
        <w:ind w:firstLine="640" w:firstLineChars="200"/>
        <w:rPr>
          <w:rFonts w:eastAsia="仿宋_GB2312"/>
          <w:sz w:val="32"/>
          <w:szCs w:val="32"/>
        </w:rPr>
      </w:pPr>
      <w:r>
        <w:rPr>
          <w:rFonts w:hint="eastAsia" w:ascii="仿宋_GB2312" w:hAnsi="仿宋_GB2312" w:eastAsia="仿宋_GB2312" w:cs="仿宋_GB2312"/>
          <w:b w:val="0"/>
          <w:bCs w:val="0"/>
          <w:color w:val="auto"/>
          <w:kern w:val="2"/>
          <w:sz w:val="32"/>
          <w:szCs w:val="32"/>
          <w:lang w:val="en-US" w:eastAsia="zh-CN" w:bidi="ar-SA"/>
        </w:rPr>
        <w:t>□</w:t>
      </w:r>
      <w:r>
        <w:rPr>
          <w:rFonts w:eastAsia="仿宋_GB2312"/>
          <w:sz w:val="32"/>
          <w:szCs w:val="32"/>
        </w:rPr>
        <w:t>在</w:t>
      </w:r>
      <w:r>
        <w:rPr>
          <w:rFonts w:eastAsia="仿宋_GB2312"/>
          <w:sz w:val="32"/>
          <w:szCs w:val="32"/>
          <w:u w:val="single"/>
        </w:rPr>
        <w:t xml:space="preserve"> </w:t>
      </w:r>
      <w:r>
        <w:rPr>
          <w:rFonts w:hint="eastAsia" w:eastAsia="仿宋_GB2312"/>
          <w:sz w:val="32"/>
          <w:szCs w:val="32"/>
          <w:u w:val="single"/>
        </w:rPr>
        <w:t>7</w:t>
      </w:r>
      <w:r>
        <w:rPr>
          <w:rFonts w:eastAsia="仿宋_GB2312"/>
          <w:sz w:val="32"/>
          <w:szCs w:val="32"/>
          <w:u w:val="single"/>
        </w:rPr>
        <w:t xml:space="preserve"> </w:t>
      </w:r>
      <w:r>
        <w:rPr>
          <w:rFonts w:eastAsia="仿宋_GB2312"/>
          <w:sz w:val="32"/>
          <w:szCs w:val="32"/>
        </w:rPr>
        <w:t>个工作日内提交“应当提交的材料”中的第</w:t>
      </w:r>
      <w:r>
        <w:rPr>
          <w:rFonts w:eastAsia="仿宋_GB2312"/>
          <w:sz w:val="32"/>
          <w:szCs w:val="32"/>
          <w:u w:val="single"/>
        </w:rPr>
        <w:t xml:space="preserve"> </w:t>
      </w:r>
      <w:r>
        <w:rPr>
          <w:rFonts w:hint="eastAsia" w:eastAsia="仿宋_GB2312"/>
          <w:sz w:val="32"/>
          <w:szCs w:val="32"/>
          <w:u w:val="single"/>
        </w:rPr>
        <w:t>3</w:t>
      </w:r>
      <w:r>
        <w:rPr>
          <w:rFonts w:eastAsia="仿宋_GB2312"/>
          <w:sz w:val="32"/>
          <w:szCs w:val="32"/>
          <w:u w:val="single"/>
        </w:rPr>
        <w:t xml:space="preserve"> </w:t>
      </w:r>
      <w:r>
        <w:rPr>
          <w:rFonts w:eastAsia="仿宋_GB2312"/>
          <w:sz w:val="32"/>
          <w:szCs w:val="32"/>
        </w:rPr>
        <w:t>项、第</w:t>
      </w:r>
      <w:r>
        <w:rPr>
          <w:rFonts w:eastAsia="仿宋_GB2312"/>
          <w:sz w:val="32"/>
          <w:szCs w:val="32"/>
          <w:u w:val="single"/>
        </w:rPr>
        <w:t xml:space="preserve"> </w:t>
      </w:r>
      <w:r>
        <w:rPr>
          <w:rFonts w:hint="eastAsia" w:eastAsia="仿宋_GB2312"/>
          <w:sz w:val="32"/>
          <w:szCs w:val="32"/>
          <w:u w:val="single"/>
        </w:rPr>
        <w:t>6</w:t>
      </w:r>
      <w:r>
        <w:rPr>
          <w:rFonts w:eastAsia="仿宋_GB2312"/>
          <w:sz w:val="32"/>
          <w:szCs w:val="32"/>
          <w:u w:val="single"/>
        </w:rPr>
        <w:t xml:space="preserve"> </w:t>
      </w:r>
      <w:r>
        <w:rPr>
          <w:rFonts w:eastAsia="仿宋_GB2312"/>
          <w:sz w:val="32"/>
          <w:szCs w:val="32"/>
        </w:rPr>
        <w:t>项</w:t>
      </w:r>
      <w:r>
        <w:rPr>
          <w:rFonts w:hint="eastAsia" w:eastAsia="仿宋_GB2312"/>
          <w:sz w:val="32"/>
          <w:szCs w:val="32"/>
        </w:rPr>
        <w:t>、</w:t>
      </w:r>
      <w:r>
        <w:rPr>
          <w:rFonts w:eastAsia="仿宋_GB2312"/>
          <w:sz w:val="32"/>
          <w:szCs w:val="32"/>
        </w:rPr>
        <w:t>第</w:t>
      </w:r>
      <w:r>
        <w:rPr>
          <w:rFonts w:eastAsia="仿宋_GB2312"/>
          <w:sz w:val="32"/>
          <w:szCs w:val="32"/>
          <w:u w:val="single"/>
        </w:rPr>
        <w:t xml:space="preserve"> </w:t>
      </w:r>
      <w:r>
        <w:rPr>
          <w:rFonts w:hint="eastAsia" w:eastAsia="仿宋_GB2312"/>
          <w:sz w:val="32"/>
          <w:szCs w:val="32"/>
          <w:u w:val="single"/>
        </w:rPr>
        <w:t>7</w:t>
      </w:r>
      <w:r>
        <w:rPr>
          <w:rFonts w:eastAsia="仿宋_GB2312"/>
          <w:sz w:val="32"/>
          <w:szCs w:val="32"/>
          <w:u w:val="single"/>
        </w:rPr>
        <w:t xml:space="preserve"> </w:t>
      </w:r>
      <w:r>
        <w:rPr>
          <w:rFonts w:eastAsia="仿宋_GB2312"/>
          <w:sz w:val="32"/>
          <w:szCs w:val="32"/>
        </w:rPr>
        <w:t>项。</w:t>
      </w:r>
    </w:p>
    <w:p>
      <w:pPr>
        <w:spacing w:line="600" w:lineRule="exact"/>
        <w:ind w:firstLine="640" w:firstLineChars="200"/>
        <w:rPr>
          <w:rFonts w:eastAsia="仿宋_GB2312"/>
          <w:sz w:val="32"/>
          <w:szCs w:val="32"/>
        </w:rPr>
      </w:pPr>
      <w:r>
        <w:rPr>
          <w:rFonts w:hint="eastAsia" w:ascii="仿宋_GB2312" w:hAnsi="仿宋_GB2312" w:eastAsia="仿宋_GB2312" w:cs="仿宋_GB2312"/>
          <w:b w:val="0"/>
          <w:bCs w:val="0"/>
          <w:color w:val="auto"/>
          <w:kern w:val="2"/>
          <w:sz w:val="32"/>
          <w:szCs w:val="32"/>
          <w:lang w:val="en-US" w:eastAsia="zh-CN" w:bidi="ar-SA"/>
        </w:rPr>
        <w:t>□</w:t>
      </w:r>
      <w:bookmarkStart w:id="0" w:name="_GoBack"/>
      <w:bookmarkEnd w:id="0"/>
      <w:r>
        <w:rPr>
          <w:rFonts w:eastAsia="仿宋_GB2312"/>
          <w:sz w:val="32"/>
          <w:szCs w:val="32"/>
        </w:rPr>
        <w:t>在行政机关对申请人自愿承诺的内容是否属实进行检查时提交：上述“应当提交的材料”中的第</w:t>
      </w:r>
      <w:r>
        <w:rPr>
          <w:rFonts w:eastAsia="仿宋_GB2312"/>
          <w:sz w:val="32"/>
          <w:szCs w:val="32"/>
          <w:u w:val="single"/>
        </w:rPr>
        <w:t xml:space="preserve"> </w:t>
      </w:r>
      <w:r>
        <w:rPr>
          <w:rFonts w:hint="eastAsia" w:eastAsia="仿宋_GB2312"/>
          <w:sz w:val="32"/>
          <w:szCs w:val="32"/>
          <w:u w:val="single"/>
        </w:rPr>
        <w:t>1</w:t>
      </w:r>
      <w:r>
        <w:rPr>
          <w:rFonts w:eastAsia="仿宋_GB2312"/>
          <w:sz w:val="32"/>
          <w:szCs w:val="32"/>
          <w:u w:val="single"/>
        </w:rPr>
        <w:t xml:space="preserve"> </w:t>
      </w:r>
      <w:r>
        <w:rPr>
          <w:rFonts w:eastAsia="仿宋_GB2312"/>
          <w:sz w:val="32"/>
          <w:szCs w:val="32"/>
        </w:rPr>
        <w:t>项、第</w:t>
      </w:r>
      <w:r>
        <w:rPr>
          <w:rFonts w:eastAsia="仿宋_GB2312"/>
          <w:sz w:val="32"/>
          <w:szCs w:val="32"/>
          <w:u w:val="single"/>
        </w:rPr>
        <w:t xml:space="preserve"> </w:t>
      </w:r>
      <w:r>
        <w:rPr>
          <w:rFonts w:hint="eastAsia" w:eastAsia="仿宋_GB2312"/>
          <w:sz w:val="32"/>
          <w:szCs w:val="32"/>
          <w:u w:val="single"/>
        </w:rPr>
        <w:t>2</w:t>
      </w:r>
      <w:r>
        <w:rPr>
          <w:rFonts w:eastAsia="仿宋_GB2312"/>
          <w:sz w:val="32"/>
          <w:szCs w:val="32"/>
          <w:u w:val="single"/>
        </w:rPr>
        <w:t xml:space="preserve"> </w:t>
      </w:r>
      <w:r>
        <w:rPr>
          <w:rFonts w:eastAsia="仿宋_GB2312"/>
          <w:sz w:val="32"/>
          <w:szCs w:val="32"/>
        </w:rPr>
        <w:t>项、第</w:t>
      </w:r>
      <w:r>
        <w:rPr>
          <w:rFonts w:eastAsia="仿宋_GB2312"/>
          <w:sz w:val="32"/>
          <w:szCs w:val="32"/>
          <w:u w:val="single"/>
        </w:rPr>
        <w:t xml:space="preserve"> </w:t>
      </w:r>
      <w:r>
        <w:rPr>
          <w:rFonts w:hint="eastAsia" w:eastAsia="仿宋_GB2312"/>
          <w:sz w:val="32"/>
          <w:szCs w:val="32"/>
          <w:u w:val="single"/>
        </w:rPr>
        <w:t>4</w:t>
      </w:r>
      <w:r>
        <w:rPr>
          <w:rFonts w:eastAsia="仿宋_GB2312"/>
          <w:sz w:val="32"/>
          <w:szCs w:val="32"/>
          <w:u w:val="single"/>
        </w:rPr>
        <w:t xml:space="preserve"> </w:t>
      </w:r>
      <w:r>
        <w:rPr>
          <w:rFonts w:eastAsia="仿宋_GB2312"/>
          <w:sz w:val="32"/>
          <w:szCs w:val="32"/>
        </w:rPr>
        <w:t>项、第</w:t>
      </w:r>
      <w:r>
        <w:rPr>
          <w:rFonts w:eastAsia="仿宋_GB2312"/>
          <w:sz w:val="32"/>
          <w:szCs w:val="32"/>
          <w:u w:val="single"/>
        </w:rPr>
        <w:t xml:space="preserve"> </w:t>
      </w:r>
      <w:r>
        <w:rPr>
          <w:rFonts w:hint="eastAsia" w:eastAsia="仿宋_GB2312"/>
          <w:sz w:val="32"/>
          <w:szCs w:val="32"/>
          <w:u w:val="single"/>
        </w:rPr>
        <w:t>5</w:t>
      </w:r>
      <w:r>
        <w:rPr>
          <w:rFonts w:eastAsia="仿宋_GB2312"/>
          <w:sz w:val="32"/>
          <w:szCs w:val="32"/>
          <w:u w:val="single"/>
        </w:rPr>
        <w:t xml:space="preserve"> </w:t>
      </w:r>
      <w:r>
        <w:rPr>
          <w:rFonts w:eastAsia="仿宋_GB2312"/>
          <w:sz w:val="32"/>
          <w:szCs w:val="32"/>
        </w:rPr>
        <w:t>项、第</w:t>
      </w:r>
      <w:r>
        <w:rPr>
          <w:rFonts w:eastAsia="仿宋_GB2312"/>
          <w:sz w:val="32"/>
          <w:szCs w:val="32"/>
          <w:u w:val="single"/>
        </w:rPr>
        <w:t xml:space="preserve"> </w:t>
      </w:r>
      <w:r>
        <w:rPr>
          <w:rFonts w:hint="eastAsia" w:eastAsia="仿宋_GB2312"/>
          <w:sz w:val="32"/>
          <w:szCs w:val="32"/>
          <w:u w:val="single"/>
        </w:rPr>
        <w:t>8</w:t>
      </w:r>
      <w:r>
        <w:rPr>
          <w:rFonts w:eastAsia="仿宋_GB2312"/>
          <w:sz w:val="32"/>
          <w:szCs w:val="32"/>
          <w:u w:val="single"/>
        </w:rPr>
        <w:t xml:space="preserve"> </w:t>
      </w:r>
      <w:r>
        <w:rPr>
          <w:rFonts w:eastAsia="仿宋_GB2312"/>
          <w:sz w:val="32"/>
          <w:szCs w:val="32"/>
        </w:rPr>
        <w:t>项。</w:t>
      </w:r>
    </w:p>
    <w:p>
      <w:pPr>
        <w:spacing w:line="600" w:lineRule="exact"/>
        <w:ind w:firstLine="640" w:firstLineChars="200"/>
        <w:rPr>
          <w:rFonts w:eastAsia="黑体"/>
          <w:kern w:val="0"/>
          <w:sz w:val="32"/>
          <w:szCs w:val="32"/>
        </w:rPr>
      </w:pPr>
      <w:r>
        <w:rPr>
          <w:rFonts w:eastAsia="黑体"/>
          <w:kern w:val="0"/>
          <w:sz w:val="32"/>
          <w:szCs w:val="32"/>
        </w:rPr>
        <w:t>四、承诺的效力</w:t>
      </w:r>
    </w:p>
    <w:p>
      <w:pPr>
        <w:spacing w:line="600" w:lineRule="exact"/>
        <w:ind w:firstLine="640" w:firstLineChars="200"/>
        <w:rPr>
          <w:rFonts w:eastAsia="仿宋_GB2312"/>
          <w:sz w:val="32"/>
          <w:szCs w:val="32"/>
        </w:rPr>
      </w:pPr>
      <w:r>
        <w:rPr>
          <w:rFonts w:eastAsia="仿宋_GB2312"/>
          <w:sz w:val="32"/>
          <w:szCs w:val="32"/>
        </w:rPr>
        <w:t>申请人作出符合许可条件的承诺，并提交</w:t>
      </w:r>
      <w:r>
        <w:rPr>
          <w:rFonts w:hint="eastAsia" w:eastAsia="仿宋_GB2312"/>
          <w:sz w:val="32"/>
          <w:szCs w:val="32"/>
        </w:rPr>
        <w:t>签字盖</w:t>
      </w:r>
      <w:r>
        <w:rPr>
          <w:rFonts w:eastAsia="仿宋_GB2312"/>
          <w:sz w:val="32"/>
          <w:szCs w:val="32"/>
        </w:rPr>
        <w:t>章的承诺书后，行政机</w:t>
      </w:r>
      <w:r>
        <w:rPr>
          <w:rFonts w:hint="eastAsia" w:eastAsia="仿宋_GB2312"/>
          <w:sz w:val="32"/>
          <w:szCs w:val="32"/>
        </w:rPr>
        <w:t>关</w:t>
      </w:r>
      <w:r>
        <w:rPr>
          <w:rFonts w:eastAsia="仿宋_GB2312"/>
          <w:sz w:val="32"/>
          <w:szCs w:val="32"/>
        </w:rPr>
        <w:t>应当</w:t>
      </w:r>
      <w:r>
        <w:rPr>
          <w:rFonts w:hint="eastAsia" w:eastAsia="仿宋_GB2312"/>
          <w:sz w:val="32"/>
          <w:szCs w:val="32"/>
        </w:rPr>
        <w:t>当</w:t>
      </w:r>
      <w:r>
        <w:rPr>
          <w:rFonts w:eastAsia="仿宋_GB2312"/>
          <w:sz w:val="32"/>
          <w:szCs w:val="32"/>
        </w:rPr>
        <w:t>场作出行政许可决定。</w:t>
      </w:r>
    </w:p>
    <w:p>
      <w:pPr>
        <w:spacing w:line="600" w:lineRule="exact"/>
        <w:ind w:firstLine="640" w:firstLineChars="200"/>
        <w:rPr>
          <w:rFonts w:eastAsia="仿宋_GB2312"/>
          <w:sz w:val="32"/>
          <w:szCs w:val="32"/>
        </w:rPr>
      </w:pPr>
      <w:r>
        <w:rPr>
          <w:rFonts w:eastAsia="仿宋_GB2312"/>
          <w:sz w:val="32"/>
          <w:szCs w:val="32"/>
        </w:rPr>
        <w:t>申请人承诺已具备经营许可条件的，领证后即可开展经营；申请人尚不具备经营许可条件，但承诺领证后一定期限内具备的，达到经营许可条件并按要求补齐材料后，方可开展经营。</w:t>
      </w:r>
    </w:p>
    <w:p>
      <w:pPr>
        <w:widowControl/>
        <w:spacing w:line="600" w:lineRule="exact"/>
        <w:ind w:firstLine="630"/>
        <w:jc w:val="left"/>
        <w:rPr>
          <w:rFonts w:eastAsia="黑体"/>
          <w:kern w:val="0"/>
          <w:sz w:val="32"/>
          <w:szCs w:val="32"/>
        </w:rPr>
      </w:pPr>
      <w:r>
        <w:rPr>
          <w:rFonts w:eastAsia="黑体"/>
          <w:kern w:val="0"/>
          <w:sz w:val="32"/>
          <w:szCs w:val="32"/>
        </w:rPr>
        <w:t>五、承诺的方式</w:t>
      </w:r>
    </w:p>
    <w:p>
      <w:pPr>
        <w:spacing w:line="600" w:lineRule="exact"/>
        <w:ind w:firstLine="640" w:firstLineChars="200"/>
        <w:rPr>
          <w:rFonts w:eastAsia="仿宋_GB2312"/>
          <w:sz w:val="32"/>
          <w:szCs w:val="32"/>
        </w:rPr>
      </w:pPr>
      <w:r>
        <w:rPr>
          <w:rFonts w:eastAsia="仿宋_GB2312"/>
          <w:sz w:val="32"/>
          <w:szCs w:val="32"/>
        </w:rPr>
        <w:t>本行政许可事项采用书面承诺方式，申请人愿意作出承诺的，应当向行政机关提交本人或委托代理人签字后的承诺书原件。委托办理的，申请人应签署委托代理书。</w:t>
      </w:r>
    </w:p>
    <w:p>
      <w:pPr>
        <w:widowControl/>
        <w:spacing w:line="600" w:lineRule="exact"/>
        <w:ind w:firstLine="630"/>
        <w:jc w:val="left"/>
        <w:rPr>
          <w:rFonts w:eastAsia="黑体"/>
          <w:kern w:val="0"/>
          <w:sz w:val="32"/>
          <w:szCs w:val="32"/>
        </w:rPr>
      </w:pPr>
      <w:r>
        <w:rPr>
          <w:rFonts w:eastAsia="黑体"/>
          <w:kern w:val="0"/>
          <w:sz w:val="32"/>
          <w:szCs w:val="32"/>
        </w:rPr>
        <w:t>六、不实承诺的责任</w:t>
      </w:r>
    </w:p>
    <w:p>
      <w:pPr>
        <w:spacing w:line="600" w:lineRule="exact"/>
        <w:ind w:firstLine="640" w:firstLineChars="200"/>
        <w:rPr>
          <w:rFonts w:eastAsia="仿宋_GB2312"/>
          <w:sz w:val="32"/>
          <w:szCs w:val="32"/>
        </w:rPr>
      </w:pPr>
      <w:r>
        <w:rPr>
          <w:rFonts w:eastAsia="仿宋_GB2312"/>
          <w:sz w:val="32"/>
          <w:szCs w:val="32"/>
        </w:rPr>
        <w:t>申请人在承诺书约定的期限内未提交材料或者提交材料不符合要求的，行政机关可视情撤销许可决定；发现申请人不符合承诺条件开展经营的，行政机关应当责令其限期整改。申请人逾期不整改或整改后仍达不到要求的，行政机关应当依法撤销许可决定。被撤销许可决定的，行政许可范围内的经营活动应当立即停止，申请人基于行政许可取得的利益不受法律保护。申请人相关失信行为信息将记入诚信档案，并不再适用告知承诺的审批方式。</w:t>
      </w:r>
    </w:p>
    <w:p>
      <w:pPr>
        <w:widowControl/>
        <w:spacing w:line="600" w:lineRule="exact"/>
        <w:ind w:firstLine="630"/>
        <w:jc w:val="left"/>
        <w:rPr>
          <w:rFonts w:eastAsia="黑体"/>
          <w:kern w:val="0"/>
          <w:sz w:val="32"/>
          <w:szCs w:val="32"/>
        </w:rPr>
      </w:pPr>
      <w:r>
        <w:rPr>
          <w:rFonts w:eastAsia="黑体"/>
          <w:kern w:val="0"/>
          <w:sz w:val="32"/>
          <w:szCs w:val="32"/>
        </w:rPr>
        <w:t>七、行政机关核查权力</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1.《中华人民共和国就业促进法》第四十条规定：设立职业中介机构应当在工商行政管理部门办理登记后，向劳动行政部门申请行政许可。未经依法许可和登记的机构，不得从事职业中介活动。</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2.《人力资源市场暂行条例》（国务院令第700号）。第十八条  经营性人力资源服务机构从事职业中介活动的，应当依法向人力资源社会保障行政部门申请行政许可，取得人力资源服务许可证。</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经营性人力资源服务机构开展人力资源供求信息的收集和发布、就业和创业指导、人力资源管理咨询、人力资源测评、人力资源培训、承接人力资源服务外包等人力资源服务业务的，应当自开展业务之日起15日内向人力资源社会保障行政部门备案。</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经营性人力资源服务机构从事劳务派遣业务的，执行国家有关劳务派遣的规定。</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第十九条　人力资源社会保障行政部门应当自收到经营性人力资源服务机构从事职业中介活动的申请之日起20日内依法作出行政许可决定。符合条件的，颁发人力资源服务许可证；不符合条件的，作出不予批准的书面决定并说明理由。</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第二十条　经营性人力资源服务机构设立分支机构的，应当自工商登记办理完毕之日起15日内，书面报告分支机构所在地人力资源社会保障行政部门。</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第二十一条　经营性人力资源服务机构变更名称、住所、法定代表人或者终止经营活动的，应当自工商变更登记或者注销登记办理完毕之日起15日内，书面报告人力资源社会保障行政部门。</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第二十五条　人力资源流动，应当遵守法律、法规对服务期、从业限制、保密等方面的规定。</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第二十六条　人力资源服务机构接受用人单位委托招聘人员，应当要求用人单位提供招聘简章、营业执照或者有关部门批准设立的文件、经办人的身份证件、用人单位的委托证明，并对所提供材料的真实性、合法性进行审查。</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第二十七条　人力资源服务机构接受用人单位委托招聘人员或者开展其他人力资源服务，不得采取欺诈、暴力、胁迫或者其他不正当手段，不得以招聘为名牟取不正当利益，不得介绍单位或者个人从事违法活动。</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第二十八条　人力资源服务机构举办现场招聘会，应当制定组织实施办法、应急预案和安全保卫工作方案，核实参加招聘会的招聘单位及其招聘简章的真实性、合法性，提前将招聘会信息向社会公布，并对招聘中的各项活动进行管理。</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举办大型现场招聘会，应当符合《大型群众性活动安全管理条例》等法律法规的规定。</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第二十九条　人力资源服务机构发布人力资源供求信息，应当建立健全信息发布审查和投诉处理机制，确保发布的信息真实、合法、有效。</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人力资源服务机构在业务活动中收集用人单位和个人信息的，不得泄露或者违法使用所知悉的商业秘密和个人信息。</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第三十条　经营性人力资源服务机构接受用人单位委托提供人力资源服务外包的，不得改变用人单位与个人的劳动关系，不得与用人单位串通侵害个人的合法权益。</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第三十一条　人力资源服务机构通过互联网提供人力资源服务的，应当遵守本条例和国家有关网络安全、互联网信息服务管理的规定。</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第三十二条　经营性人力资源服务机构应当在服务场所明示下列事项，并接受人力资源社会保障行政部门和市场监督管理、价格等主管部门的监督检查：</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（一）营业执照；</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（二）服务项目；</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（三）收费标准；</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（四）监督机关和监督电话。</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从事职业中介活动的，还应当在服务场所明示人力资源服务许可证。</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第三十三条　人力资源服务机构应当加强内部制度建设，健全财务管理制度，建立服务台账，如实记录服务对象、服务过程、服务结果等信息。服务台账应当保存2年以上。</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第三十四条　人力资源社会保障行政部门对经营性人力资源服务机构实施监督检查，可以采取下列措施：</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（一）进入被检查单位进行检查；</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（二）询问有关人员，查阅服务台账等服务信息档案；</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（三）要求被检查单位提供与检查事项相关的文件资料，并作出解释和说明；</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（四）采取记录、录音、录像、照相或者复制等方式收集有关情况和资料；</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（五）法律、法规规定的其他措施。</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人力资源社会保障行政部门实施监督检查时，监督检查人员不得少于2人，应当出示执法证件，并对被检查单位的商业秘密予以保密。</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对人力资源社会保障行政部门依法进行的监督检查，被检查单位应当配合，如实提供相关资料和信息，不得隐瞒、拒绝、阻碍。</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第三十六条　经营性人力资源服务机构应当在规定期限内，向人力资源社会保障行政部门提交经营情况年度报告。人力资源社会保障行政部门可以依法公示或者引导经营性人力资源服务机构依法公示年度报告的有关内容。</w:t>
      </w:r>
    </w:p>
    <w:p>
      <w:pPr>
        <w:spacing w:line="600" w:lineRule="exact"/>
        <w:ind w:firstLine="640" w:firstLineChars="200"/>
        <w:rPr>
          <w:rFonts w:ascii="Times New Roman" w:hAnsi="Times New Roman" w:eastAsia="仿宋_GB2312" w:cs="Times New Roman"/>
          <w:sz w:val="32"/>
          <w:szCs w:val="32"/>
        </w:rPr>
      </w:pPr>
    </w:p>
    <w:p>
      <w:pPr>
        <w:overflowPunct w:val="0"/>
        <w:adjustRightInd w:val="0"/>
        <w:snapToGrid w:val="0"/>
        <w:spacing w:line="600" w:lineRule="exact"/>
        <w:ind w:firstLine="640" w:firstLineChars="200"/>
        <w:rPr>
          <w:rFonts w:eastAsia="楷体_GB2312"/>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F001EC"/>
    <w:rsid w:val="004E710C"/>
    <w:rsid w:val="004F5B32"/>
    <w:rsid w:val="0070136F"/>
    <w:rsid w:val="00724D06"/>
    <w:rsid w:val="00995865"/>
    <w:rsid w:val="009C2AA3"/>
    <w:rsid w:val="00AF299A"/>
    <w:rsid w:val="00C4532E"/>
    <w:rsid w:val="00C74ECF"/>
    <w:rsid w:val="00C846EA"/>
    <w:rsid w:val="00C87E94"/>
    <w:rsid w:val="00E27A80"/>
    <w:rsid w:val="37872907"/>
    <w:rsid w:val="49F001EC"/>
    <w:rsid w:val="4CE93B3F"/>
    <w:rsid w:val="5E05792C"/>
    <w:rsid w:val="733F5D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color w:val="000000"/>
      <w:kern w:val="0"/>
      <w:sz w:val="24"/>
    </w:rPr>
  </w:style>
  <w:style w:type="character" w:customStyle="1" w:styleId="7">
    <w:name w:val="页眉 Char"/>
    <w:basedOn w:val="6"/>
    <w:link w:val="3"/>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438</Words>
  <Characters>2498</Characters>
  <Lines>20</Lines>
  <Paragraphs>5</Paragraphs>
  <TotalTime>0</TotalTime>
  <ScaleCrop>false</ScaleCrop>
  <LinksUpToDate>false</LinksUpToDate>
  <CharactersWithSpaces>2931</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2021-10-22T07:15:00Z</dcterms:created>
  <dc:creator>Administrator</dc:creator>
  <cp:lastModifiedBy>Administrator</cp:lastModifiedBy>
  <dcterms:modified xsi:type="dcterms:W3CDTF">2021-10-28T01:00:07Z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C3621E5548174A7D8BE7014727184B01</vt:lpwstr>
  </property>
</Properties>
</file>